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0C14BD" w:rsidRPr="00A06B59" w:rsidRDefault="000C14BD" w:rsidP="00A06B59">
      <w:pPr>
        <w:spacing w:line="480" w:lineRule="auto"/>
        <w:jc w:val="center"/>
        <w:rPr>
          <w:rFonts w:ascii="Times New Roman" w:hAnsi="Times New Roman" w:cs="Times New Roman"/>
          <w:sz w:val="24"/>
          <w:szCs w:val="24"/>
        </w:rPr>
      </w:pPr>
      <w:r w:rsidRPr="00A06B59">
        <w:rPr>
          <w:rFonts w:ascii="Times New Roman" w:hAnsi="Times New Roman" w:cs="Times New Roman"/>
          <w:sz w:val="24"/>
          <w:szCs w:val="24"/>
        </w:rPr>
        <w:t>Gender and its Relationship to Christian Life.</w:t>
      </w:r>
    </w:p>
    <w:p w:rsidR="000C14BD" w:rsidRPr="00A06B59" w:rsidRDefault="000C14BD" w:rsidP="00A06B59">
      <w:pPr>
        <w:spacing w:line="480" w:lineRule="auto"/>
        <w:jc w:val="center"/>
        <w:rPr>
          <w:rFonts w:ascii="Times New Roman" w:hAnsi="Times New Roman" w:cs="Times New Roman"/>
          <w:sz w:val="24"/>
          <w:szCs w:val="24"/>
        </w:rPr>
      </w:pPr>
      <w:r w:rsidRPr="00A06B59">
        <w:rPr>
          <w:rFonts w:ascii="Times New Roman" w:hAnsi="Times New Roman" w:cs="Times New Roman"/>
          <w:sz w:val="24"/>
          <w:szCs w:val="24"/>
        </w:rPr>
        <w:t>Name.</w:t>
      </w:r>
    </w:p>
    <w:p w:rsidR="000C14BD" w:rsidRPr="00A06B59" w:rsidRDefault="000C14BD" w:rsidP="00A06B59">
      <w:pPr>
        <w:spacing w:line="480" w:lineRule="auto"/>
        <w:jc w:val="center"/>
        <w:rPr>
          <w:rFonts w:ascii="Times New Roman" w:hAnsi="Times New Roman" w:cs="Times New Roman"/>
          <w:sz w:val="24"/>
          <w:szCs w:val="24"/>
        </w:rPr>
      </w:pPr>
      <w:r w:rsidRPr="00A06B59">
        <w:rPr>
          <w:rFonts w:ascii="Times New Roman" w:hAnsi="Times New Roman" w:cs="Times New Roman"/>
          <w:sz w:val="24"/>
          <w:szCs w:val="24"/>
        </w:rPr>
        <w:t>Institution.</w:t>
      </w:r>
    </w:p>
    <w:p w:rsidR="000C14BD" w:rsidRPr="00A06B59" w:rsidRDefault="000C14BD" w:rsidP="00A06B59">
      <w:pPr>
        <w:spacing w:line="480" w:lineRule="auto"/>
        <w:jc w:val="center"/>
        <w:rPr>
          <w:rFonts w:ascii="Times New Roman" w:hAnsi="Times New Roman" w:cs="Times New Roman"/>
          <w:sz w:val="24"/>
          <w:szCs w:val="24"/>
        </w:rPr>
      </w:pPr>
      <w:r w:rsidRPr="00A06B59">
        <w:rPr>
          <w:rFonts w:ascii="Times New Roman" w:hAnsi="Times New Roman" w:cs="Times New Roman"/>
          <w:sz w:val="24"/>
          <w:szCs w:val="24"/>
        </w:rPr>
        <w:t>Date.</w:t>
      </w: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0C14BD" w:rsidRPr="00A06B59" w:rsidRDefault="000C14BD" w:rsidP="00A06B59">
      <w:pPr>
        <w:spacing w:line="480" w:lineRule="auto"/>
        <w:jc w:val="center"/>
        <w:rPr>
          <w:rFonts w:ascii="Times New Roman" w:hAnsi="Times New Roman" w:cs="Times New Roman"/>
          <w:sz w:val="24"/>
          <w:szCs w:val="24"/>
        </w:rPr>
      </w:pPr>
      <w:r w:rsidRPr="00A06B59">
        <w:rPr>
          <w:rFonts w:ascii="Times New Roman" w:hAnsi="Times New Roman" w:cs="Times New Roman"/>
          <w:sz w:val="24"/>
          <w:szCs w:val="24"/>
        </w:rPr>
        <w:lastRenderedPageBreak/>
        <w:t>Gender and its Relationship to Christian Life.</w:t>
      </w:r>
    </w:p>
    <w:p w:rsidR="000C14BD" w:rsidRPr="00A06B59" w:rsidRDefault="000C14BD" w:rsidP="00A06B59">
      <w:pPr>
        <w:spacing w:line="480" w:lineRule="auto"/>
        <w:jc w:val="center"/>
        <w:rPr>
          <w:rFonts w:ascii="Times New Roman" w:hAnsi="Times New Roman" w:cs="Times New Roman"/>
          <w:b/>
          <w:sz w:val="24"/>
          <w:szCs w:val="24"/>
        </w:rPr>
      </w:pPr>
      <w:r w:rsidRPr="00A06B59">
        <w:rPr>
          <w:rFonts w:ascii="Times New Roman" w:hAnsi="Times New Roman" w:cs="Times New Roman"/>
          <w:b/>
          <w:sz w:val="24"/>
          <w:szCs w:val="24"/>
        </w:rPr>
        <w:t>Introduction.</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The introductory material</w:t>
      </w:r>
      <w:r w:rsidR="006807F3">
        <w:rPr>
          <w:rFonts w:ascii="Times New Roman" w:hAnsi="Times New Roman" w:cs="Times New Roman"/>
          <w:sz w:val="24"/>
          <w:szCs w:val="24"/>
        </w:rPr>
        <w:t xml:space="preserve">ity in Christian worship is vividly </w:t>
      </w:r>
      <w:r w:rsidRPr="00A06B59">
        <w:rPr>
          <w:rFonts w:ascii="Times New Roman" w:hAnsi="Times New Roman" w:cs="Times New Roman"/>
          <w:sz w:val="24"/>
          <w:szCs w:val="24"/>
        </w:rPr>
        <w:t xml:space="preserve">present on all worshipers. Herein, gender differences are quite evident and highly inscribed into the very fabric of liturgical practices, past, and present (Carter, Franz, Gruschow, &amp; VanRyne, 2019). In contemporary Christian worship, the specks of gender are very evident in the broad spectrum of religious traditions. As evident, some churches have time and again allowed rituals which are believed to perpetuate blessings in diverse gender perspectives. Also, other churches have remained to struggle with the actual ordination of women. In addition, feminist activities over liturgical language have made a mark for some communities account from religious understandings. From a theological point of view, the different assertions on gender and its relation on Christians are faced with thousands of years of a complex history. In my conviction, tracing the background and the actual interplay amid gender differences and Christian worship constitute not only an essential task for historians of liturgy but also forms a firm basis for addressing the contemporary issues facing gender (Carter et al., 2019). This study offers a thorough comparison and contrast amid the views of gender and the relationships to the Christian life as it appears in the 1st Corinthians and 1st Timothy. </w:t>
      </w:r>
    </w:p>
    <w:p w:rsidR="000C14BD" w:rsidRPr="00A06B59" w:rsidRDefault="000C14BD" w:rsidP="00A06B59">
      <w:pPr>
        <w:spacing w:line="480" w:lineRule="auto"/>
        <w:jc w:val="center"/>
        <w:rPr>
          <w:rFonts w:ascii="Times New Roman" w:hAnsi="Times New Roman" w:cs="Times New Roman"/>
          <w:b/>
          <w:sz w:val="24"/>
          <w:szCs w:val="24"/>
        </w:rPr>
      </w:pPr>
      <w:r w:rsidRPr="00A06B59">
        <w:rPr>
          <w:rFonts w:ascii="Times New Roman" w:hAnsi="Times New Roman" w:cs="Times New Roman"/>
          <w:b/>
          <w:sz w:val="24"/>
          <w:szCs w:val="24"/>
        </w:rPr>
        <w:t>Similarities.</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 xml:space="preserve">There exists a greater similarity amid the 1st Timothy and 1st Corinthians in regards to the view of gender and its relationship in the Christian life. In both books, there are growing problems regarding sexuality and the role of gender. As such, in every case, there are stains which affirm that every woman can or must have a husband (Marshall, 2019). These assertions </w:t>
      </w:r>
      <w:r w:rsidRPr="00A06B59">
        <w:rPr>
          <w:rFonts w:ascii="Times New Roman" w:hAnsi="Times New Roman" w:cs="Times New Roman"/>
          <w:sz w:val="24"/>
          <w:szCs w:val="24"/>
        </w:rPr>
        <w:lastRenderedPageBreak/>
        <w:t>are justified 1</w:t>
      </w:r>
      <w:r w:rsidR="00A06B59" w:rsidRPr="00A06B59">
        <w:rPr>
          <w:rFonts w:ascii="Times New Roman" w:hAnsi="Times New Roman" w:cs="Times New Roman"/>
          <w:sz w:val="24"/>
          <w:szCs w:val="24"/>
          <w:vertAlign w:val="superscript"/>
        </w:rPr>
        <w:t>st</w:t>
      </w:r>
      <w:r w:rsidRPr="00A06B59">
        <w:rPr>
          <w:rFonts w:ascii="Times New Roman" w:hAnsi="Times New Roman" w:cs="Times New Roman"/>
          <w:sz w:val="24"/>
          <w:szCs w:val="24"/>
        </w:rPr>
        <w:t xml:space="preserve"> Timothy 5:14 “So I would have younger widows marry, bear children, manage their households, and give none occasion to the adversary to speak disapprovingly.  Similar, 1st Corinthians 7:2 state that “to avoid sexual immorality, let each man have his own wife, and let each woman have her own husband” (Marshall, 2019). In these settings, the two books resonate that women should be married.  Hence, they tend to give a command for carnal copulation between one man and one woman in a married state </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 xml:space="preserve"> More importantly, the two books tend to reflect each other by supporting the ideation that “marrying is not a sin.” 1</w:t>
      </w:r>
      <w:r w:rsidR="00A06B59" w:rsidRPr="00A06B59">
        <w:rPr>
          <w:rFonts w:ascii="Times New Roman" w:hAnsi="Times New Roman" w:cs="Times New Roman"/>
          <w:sz w:val="24"/>
          <w:szCs w:val="24"/>
          <w:vertAlign w:val="superscript"/>
        </w:rPr>
        <w:t>st</w:t>
      </w:r>
      <w:r w:rsidRPr="00A06B59">
        <w:rPr>
          <w:rFonts w:ascii="Times New Roman" w:hAnsi="Times New Roman" w:cs="Times New Roman"/>
          <w:sz w:val="24"/>
          <w:szCs w:val="24"/>
        </w:rPr>
        <w:t>Corinthians 7:36 states that “if anyone thinks he is acting inappropriately towards his virginity, if he is past the bloom youth and it seems necessary, he should do what he wishes; he does not sin.” The book heads on to affirm that “let them marry… who gives own virgin in m</w:t>
      </w:r>
      <w:r w:rsidR="00A06B59">
        <w:rPr>
          <w:rFonts w:ascii="Times New Roman" w:hAnsi="Times New Roman" w:cs="Times New Roman"/>
          <w:sz w:val="24"/>
          <w:szCs w:val="24"/>
        </w:rPr>
        <w:t>arriage.”  On the other hand, 1</w:t>
      </w:r>
      <w:r w:rsidR="00A06B59" w:rsidRPr="00A06B59">
        <w:rPr>
          <w:rFonts w:ascii="Times New Roman" w:hAnsi="Times New Roman" w:cs="Times New Roman"/>
          <w:sz w:val="24"/>
          <w:szCs w:val="24"/>
          <w:vertAlign w:val="superscript"/>
        </w:rPr>
        <w:t>st</w:t>
      </w:r>
      <w:r w:rsidRPr="00A06B59">
        <w:rPr>
          <w:rFonts w:ascii="Times New Roman" w:hAnsi="Times New Roman" w:cs="Times New Roman"/>
          <w:sz w:val="24"/>
          <w:szCs w:val="24"/>
        </w:rPr>
        <w:t xml:space="preserve">Timothy 4:3 asserts that denying anyone to marry and commanding to abstain from meats, which God has created to be received with thanksgiving to them which believe and know the truth. From this point of view, the two books see to support the role of gender in Christianity based on the assertion that marriage is an essential aspect and hence those who give their virginity for marriage does the right thing. </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Further, the books tend to concur in that in each church, the precise place for women remains quite uncertain. 1</w:t>
      </w:r>
      <w:r w:rsidR="00A06B59" w:rsidRPr="00A06B59">
        <w:rPr>
          <w:rFonts w:ascii="Times New Roman" w:hAnsi="Times New Roman" w:cs="Times New Roman"/>
          <w:sz w:val="24"/>
          <w:szCs w:val="24"/>
          <w:vertAlign w:val="superscript"/>
        </w:rPr>
        <w:t>st</w:t>
      </w:r>
      <w:r w:rsidR="00013583" w:rsidRPr="00A06B59">
        <w:rPr>
          <w:rFonts w:ascii="Times New Roman" w:hAnsi="Times New Roman" w:cs="Times New Roman"/>
          <w:sz w:val="24"/>
          <w:szCs w:val="24"/>
        </w:rPr>
        <w:t>Corinthians</w:t>
      </w:r>
      <w:bookmarkStart w:id="0" w:name="_GoBack"/>
      <w:bookmarkEnd w:id="0"/>
      <w:r w:rsidRPr="00A06B59">
        <w:rPr>
          <w:rFonts w:ascii="Times New Roman" w:hAnsi="Times New Roman" w:cs="Times New Roman"/>
          <w:sz w:val="24"/>
          <w:szCs w:val="24"/>
        </w:rPr>
        <w:t xml:space="preserve"> 7:8 provides that for the unmarried and windows, it is good for them to stay unmarried. However, sexual immorality is frequently occurring, and hence each man should have sexual relations with his own wife, and each woman should do the same with her own husband. This chapter reaffirms that no woman should fulfill his marital duty to his husband, and likewise husband to his wife. Therefore, a wife does not have authority over her own body but yields it to her husband, and in the same manner, the husband lacks the authority over his own body but yields it to his wife. In the other hand, 1st Timothy 5:3-16 advocates for </w:t>
      </w:r>
      <w:r w:rsidRPr="00A06B59">
        <w:rPr>
          <w:rFonts w:ascii="Times New Roman" w:hAnsi="Times New Roman" w:cs="Times New Roman"/>
          <w:sz w:val="24"/>
          <w:szCs w:val="24"/>
        </w:rPr>
        <w:lastRenderedPageBreak/>
        <w:t xml:space="preserve">proper recognition for all widows who are really in need while putting religion into practice and caring for their own family. In reflection, the two books tend to concur that no single gender is complete and hence men and women need each other for both spiritual and holistic life. Further, the two books tend to question the place of women in the assembly in both churches, concerning the part around what women should wear. Based on the aforementioned literature, it is true that the two books have a greater point of convergence regarding the role of gender and its relation in Christian life. </w:t>
      </w:r>
    </w:p>
    <w:p w:rsidR="000C14BD" w:rsidRPr="00A06B59" w:rsidRDefault="000C14BD" w:rsidP="00A06B59">
      <w:pPr>
        <w:spacing w:line="480" w:lineRule="auto"/>
        <w:jc w:val="center"/>
        <w:rPr>
          <w:rFonts w:ascii="Times New Roman" w:hAnsi="Times New Roman" w:cs="Times New Roman"/>
          <w:b/>
          <w:sz w:val="24"/>
          <w:szCs w:val="24"/>
        </w:rPr>
      </w:pPr>
      <w:r w:rsidRPr="00A06B59">
        <w:rPr>
          <w:rFonts w:ascii="Times New Roman" w:hAnsi="Times New Roman" w:cs="Times New Roman"/>
          <w:b/>
          <w:sz w:val="24"/>
          <w:szCs w:val="24"/>
        </w:rPr>
        <w:t>Differences.</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 xml:space="preserve">Despite the considerable overlap amid 1st Corinthians and 1st Timothy, there exist significant differences. As such, 1st Timothy 2 commands on the aspect of the quietness of the female gender while 1st Corinthians 11 defends on the key expectations that women will question in the church as they tend to practice as well as prophesy. Arguably, the aspect of silence in 1st Timothy lacks </w:t>
      </w:r>
      <w:r w:rsidR="006807F3" w:rsidRPr="00A06B59">
        <w:rPr>
          <w:rFonts w:ascii="Times New Roman" w:hAnsi="Times New Roman" w:cs="Times New Roman"/>
          <w:sz w:val="24"/>
          <w:szCs w:val="24"/>
        </w:rPr>
        <w:t>significance</w:t>
      </w:r>
      <w:r w:rsidRPr="00A06B59">
        <w:rPr>
          <w:rFonts w:ascii="Times New Roman" w:hAnsi="Times New Roman" w:cs="Times New Roman"/>
          <w:sz w:val="24"/>
          <w:szCs w:val="24"/>
        </w:rPr>
        <w:t xml:space="preserve"> in 1st Corinthians. Analytically, there seems to be nothing to scare women from praying and prophesying in the church as observed in 1st Timothy. However, the book acknowledges the fact that women should not have authority over men. In this setting, 1st Timothy 2 and 1st Corinthians 11 are not contradicting each other; rather, they are committed to addressing the different situations attached to gender in varied perspectives.</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Another difference is noted in the advice to windows in 1st Timothy 5, an aspect which notes a significant d</w:t>
      </w:r>
      <w:r w:rsidR="006807F3">
        <w:rPr>
          <w:rFonts w:ascii="Times New Roman" w:hAnsi="Times New Roman" w:cs="Times New Roman"/>
          <w:sz w:val="24"/>
          <w:szCs w:val="24"/>
        </w:rPr>
        <w:t>eviation from 1st Corinthians. As e</w:t>
      </w:r>
      <w:r w:rsidRPr="00A06B59">
        <w:rPr>
          <w:rFonts w:ascii="Times New Roman" w:hAnsi="Times New Roman" w:cs="Times New Roman"/>
          <w:sz w:val="24"/>
          <w:szCs w:val="24"/>
        </w:rPr>
        <w:t xml:space="preserve">vident from 1stCorinthians, Paul </w:t>
      </w:r>
      <w:r w:rsidR="006807F3">
        <w:rPr>
          <w:rFonts w:ascii="Times New Roman" w:hAnsi="Times New Roman" w:cs="Times New Roman"/>
          <w:sz w:val="24"/>
          <w:szCs w:val="24"/>
        </w:rPr>
        <w:t>po</w:t>
      </w:r>
      <w:r w:rsidR="006807F3" w:rsidRPr="00A06B59">
        <w:rPr>
          <w:rFonts w:ascii="Times New Roman" w:hAnsi="Times New Roman" w:cs="Times New Roman"/>
          <w:sz w:val="24"/>
          <w:szCs w:val="24"/>
        </w:rPr>
        <w:t>ses</w:t>
      </w:r>
      <w:r w:rsidR="006807F3">
        <w:rPr>
          <w:rFonts w:ascii="Times New Roman" w:hAnsi="Times New Roman" w:cs="Times New Roman"/>
          <w:sz w:val="24"/>
          <w:szCs w:val="24"/>
        </w:rPr>
        <w:t xml:space="preserve"> a divergent idea that wi</w:t>
      </w:r>
      <w:r w:rsidRPr="00A06B59">
        <w:rPr>
          <w:rFonts w:ascii="Times New Roman" w:hAnsi="Times New Roman" w:cs="Times New Roman"/>
          <w:sz w:val="24"/>
          <w:szCs w:val="24"/>
        </w:rPr>
        <w:t>dows should remain single.  In this setting, 1</w:t>
      </w:r>
      <w:r w:rsidR="00A06B59" w:rsidRPr="00A06B59">
        <w:rPr>
          <w:rFonts w:ascii="Times New Roman" w:hAnsi="Times New Roman" w:cs="Times New Roman"/>
          <w:sz w:val="24"/>
          <w:szCs w:val="24"/>
          <w:vertAlign w:val="superscript"/>
        </w:rPr>
        <w:t>st</w:t>
      </w:r>
      <w:r w:rsidRPr="00A06B59">
        <w:rPr>
          <w:rFonts w:ascii="Times New Roman" w:hAnsi="Times New Roman" w:cs="Times New Roman"/>
          <w:sz w:val="24"/>
          <w:szCs w:val="24"/>
        </w:rPr>
        <w:t>Corinthians views singleness as the ideal for ministry since time has been sh</w:t>
      </w:r>
      <w:r w:rsidR="00A06B59">
        <w:rPr>
          <w:rFonts w:ascii="Times New Roman" w:hAnsi="Times New Roman" w:cs="Times New Roman"/>
          <w:sz w:val="24"/>
          <w:szCs w:val="24"/>
        </w:rPr>
        <w:t>ortened (1st Corinthians 7:29).</w:t>
      </w:r>
      <w:r w:rsidRPr="00A06B59">
        <w:rPr>
          <w:rFonts w:ascii="Times New Roman" w:hAnsi="Times New Roman" w:cs="Times New Roman"/>
          <w:sz w:val="24"/>
          <w:szCs w:val="24"/>
        </w:rPr>
        <w:t xml:space="preserve"> From the other side of the same coin, 1st Timothy 5:9 values that it is only widows who are over sixty should be listed in a group of those supported by the community as true widows. In this setting, Paul </w:t>
      </w:r>
      <w:r w:rsidRPr="00A06B59">
        <w:rPr>
          <w:rFonts w:ascii="Times New Roman" w:hAnsi="Times New Roman" w:cs="Times New Roman"/>
          <w:sz w:val="24"/>
          <w:szCs w:val="24"/>
        </w:rPr>
        <w:lastRenderedPageBreak/>
        <w:t>assumes that married women are supposed to take care of younger windows until they remarry (1st Timothy 5:16.)</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 xml:space="preserve">Further, the two books differ based on the arguments used to substantiate the roles of gender in Christian life. As evident, 1st Timothy </w:t>
      </w:r>
      <w:r w:rsidR="006807F3" w:rsidRPr="00A06B59">
        <w:rPr>
          <w:rFonts w:ascii="Times New Roman" w:hAnsi="Times New Roman" w:cs="Times New Roman"/>
          <w:sz w:val="24"/>
          <w:szCs w:val="24"/>
        </w:rPr>
        <w:t>offers</w:t>
      </w:r>
      <w:r w:rsidRPr="00A06B59">
        <w:rPr>
          <w:rFonts w:ascii="Times New Roman" w:hAnsi="Times New Roman" w:cs="Times New Roman"/>
          <w:sz w:val="24"/>
          <w:szCs w:val="24"/>
        </w:rPr>
        <w:t xml:space="preserve"> the question of wives teaching in a slightly different note (Ramelli, 2019). The chapter is based on the fact that Eve rather than Adam was the one to be deceived. The fact behind this assertion is that women are increasingly deceived than men and therefore they should by no means instruct men (Marshall, 2019). On the other hand, 1st Corinthians relies patriarchal culture, an aspect which gave a room for the women who was “male-like” in her leadership. Herein, the book affirms that we would go against the practice of the rest of scripture to make this an exceptionalness principle. </w:t>
      </w:r>
    </w:p>
    <w:p w:rsidR="000C14BD" w:rsidRPr="00A06B59" w:rsidRDefault="00787B4D" w:rsidP="00A06B59">
      <w:pPr>
        <w:spacing w:line="480" w:lineRule="auto"/>
        <w:jc w:val="center"/>
        <w:rPr>
          <w:rFonts w:ascii="Times New Roman" w:hAnsi="Times New Roman" w:cs="Times New Roman"/>
          <w:b/>
          <w:sz w:val="24"/>
          <w:szCs w:val="24"/>
        </w:rPr>
      </w:pPr>
      <w:r w:rsidRPr="00A06B59">
        <w:rPr>
          <w:rFonts w:ascii="Times New Roman" w:hAnsi="Times New Roman" w:cs="Times New Roman"/>
          <w:b/>
          <w:sz w:val="24"/>
          <w:szCs w:val="24"/>
        </w:rPr>
        <w:t>The Implications of the Role of Men and Women in the C</w:t>
      </w:r>
      <w:r w:rsidR="000C14BD" w:rsidRPr="00A06B59">
        <w:rPr>
          <w:rFonts w:ascii="Times New Roman" w:hAnsi="Times New Roman" w:cs="Times New Roman"/>
          <w:b/>
          <w:sz w:val="24"/>
          <w:szCs w:val="24"/>
        </w:rPr>
        <w:t>hurch.</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 xml:space="preserve">In reflection to 1st Corinthians and 1st Timothy, there is a clear implication that men and women should be granted an equal opportunity for participating in churches. As such, there is no special gender before the eyes of the Lord, and hence segregation should not be part and parcel of our liturgical language and in churches. Moreover, men and women need to live a prayerful life.  From this content, there is an implication that everyone has a role in participating in varied Christianity services. From another point of view, there is an implication that women, who are the most immediate caregivers to children should bring up children on a religious basis in an effort to run a Christian home. Also, women should submit to their husbands all the time and lead them to practice Christianity. </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 xml:space="preserve">From a general perspective, there is a need for churches to accept the equality of both sexes. In this setting, all religious practices should be based on the assertion that all male and </w:t>
      </w:r>
      <w:r w:rsidRPr="00A06B59">
        <w:rPr>
          <w:rFonts w:ascii="Times New Roman" w:hAnsi="Times New Roman" w:cs="Times New Roman"/>
          <w:sz w:val="24"/>
          <w:szCs w:val="24"/>
        </w:rPr>
        <w:lastRenderedPageBreak/>
        <w:t xml:space="preserve">female were both created in </w:t>
      </w:r>
      <w:r w:rsidR="006807F3" w:rsidRPr="00A06B59">
        <w:rPr>
          <w:rFonts w:ascii="Times New Roman" w:hAnsi="Times New Roman" w:cs="Times New Roman"/>
          <w:sz w:val="24"/>
          <w:szCs w:val="24"/>
        </w:rPr>
        <w:t>God’s</w:t>
      </w:r>
      <w:r w:rsidRPr="00A06B59">
        <w:rPr>
          <w:rFonts w:ascii="Times New Roman" w:hAnsi="Times New Roman" w:cs="Times New Roman"/>
          <w:sz w:val="24"/>
          <w:szCs w:val="24"/>
        </w:rPr>
        <w:t xml:space="preserve"> image and hence there is a need to maintain the dignity and respect amid all genders.  </w:t>
      </w:r>
    </w:p>
    <w:p w:rsidR="000C14BD" w:rsidRPr="00A06B59" w:rsidRDefault="000C14BD" w:rsidP="00A06B59">
      <w:pPr>
        <w:spacing w:line="480" w:lineRule="auto"/>
        <w:ind w:firstLine="720"/>
        <w:rPr>
          <w:rFonts w:ascii="Times New Roman" w:hAnsi="Times New Roman" w:cs="Times New Roman"/>
          <w:sz w:val="24"/>
          <w:szCs w:val="24"/>
        </w:rPr>
      </w:pPr>
      <w:r w:rsidRPr="00A06B59">
        <w:rPr>
          <w:rFonts w:ascii="Times New Roman" w:hAnsi="Times New Roman" w:cs="Times New Roman"/>
          <w:sz w:val="24"/>
          <w:szCs w:val="24"/>
        </w:rPr>
        <w:t>In summation, thi</w:t>
      </w:r>
      <w:r w:rsidR="00A06B59">
        <w:rPr>
          <w:rFonts w:ascii="Times New Roman" w:hAnsi="Times New Roman" w:cs="Times New Roman"/>
          <w:sz w:val="24"/>
          <w:szCs w:val="24"/>
        </w:rPr>
        <w:t>s comparison shares an implication</w:t>
      </w:r>
      <w:r w:rsidRPr="00A06B59">
        <w:rPr>
          <w:rFonts w:ascii="Times New Roman" w:hAnsi="Times New Roman" w:cs="Times New Roman"/>
          <w:sz w:val="24"/>
          <w:szCs w:val="24"/>
        </w:rPr>
        <w:t xml:space="preserve"> that both men and women should be committed in church and the religion as a whole to enrich Christian marriage based on mutual love and total submission amid believers (Marshall, 2019). Moreover, husbands and fathers have an obligation to serve as leaders for their children by orienting them in church. More importantly, men are mandated to play a very vital role church by ensuring acute furtherance of the gospel while giving glory to God.</w:t>
      </w: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A06B59" w:rsidRPr="00A06B59" w:rsidRDefault="00A06B59" w:rsidP="00A06B59">
      <w:pPr>
        <w:spacing w:line="480" w:lineRule="auto"/>
        <w:jc w:val="center"/>
        <w:rPr>
          <w:rFonts w:ascii="Times New Roman" w:hAnsi="Times New Roman" w:cs="Times New Roman"/>
          <w:sz w:val="24"/>
          <w:szCs w:val="24"/>
        </w:rPr>
      </w:pPr>
    </w:p>
    <w:p w:rsidR="00927292" w:rsidRPr="00A06B59" w:rsidRDefault="0093249F" w:rsidP="00A06B59">
      <w:pPr>
        <w:spacing w:line="480" w:lineRule="auto"/>
        <w:jc w:val="center"/>
        <w:rPr>
          <w:rFonts w:ascii="Times New Roman" w:hAnsi="Times New Roman" w:cs="Times New Roman"/>
          <w:sz w:val="24"/>
          <w:szCs w:val="24"/>
        </w:rPr>
      </w:pPr>
      <w:r w:rsidRPr="00A06B59">
        <w:rPr>
          <w:rFonts w:ascii="Times New Roman" w:hAnsi="Times New Roman" w:cs="Times New Roman"/>
          <w:sz w:val="24"/>
          <w:szCs w:val="24"/>
        </w:rPr>
        <w:lastRenderedPageBreak/>
        <w:t>References</w:t>
      </w:r>
      <w:r w:rsidR="00D52317" w:rsidRPr="00A06B59">
        <w:rPr>
          <w:rFonts w:ascii="Times New Roman" w:hAnsi="Times New Roman" w:cs="Times New Roman"/>
          <w:sz w:val="24"/>
          <w:szCs w:val="24"/>
        </w:rPr>
        <w:t>.</w:t>
      </w:r>
    </w:p>
    <w:p w:rsidR="000C14BD" w:rsidRPr="00A06B59" w:rsidRDefault="000C14BD" w:rsidP="00A06B59">
      <w:pPr>
        <w:spacing w:line="480" w:lineRule="auto"/>
        <w:ind w:left="720" w:hanging="720"/>
        <w:rPr>
          <w:rFonts w:ascii="Times New Roman" w:hAnsi="Times New Roman" w:cs="Times New Roman"/>
          <w:sz w:val="24"/>
          <w:szCs w:val="24"/>
        </w:rPr>
      </w:pPr>
      <w:r w:rsidRPr="00A06B59">
        <w:rPr>
          <w:rFonts w:ascii="Times New Roman" w:hAnsi="Times New Roman" w:cs="Times New Roman"/>
          <w:sz w:val="24"/>
          <w:szCs w:val="24"/>
          <w:shd w:val="clear" w:color="auto" w:fill="FFFFFF"/>
        </w:rPr>
        <w:t>Carson, D. A. (2019). </w:t>
      </w:r>
      <w:r w:rsidRPr="00A06B59">
        <w:rPr>
          <w:rFonts w:ascii="Times New Roman" w:hAnsi="Times New Roman" w:cs="Times New Roman"/>
          <w:i/>
          <w:iCs/>
          <w:sz w:val="24"/>
          <w:szCs w:val="24"/>
          <w:shd w:val="clear" w:color="auto" w:fill="FFFFFF"/>
        </w:rPr>
        <w:t>Showing the Spirit: a theological exposition of 1 Corinthians 12-14</w:t>
      </w:r>
      <w:r w:rsidRPr="00A06B59">
        <w:rPr>
          <w:rFonts w:ascii="Times New Roman" w:hAnsi="Times New Roman" w:cs="Times New Roman"/>
          <w:sz w:val="24"/>
          <w:szCs w:val="24"/>
          <w:shd w:val="clear" w:color="auto" w:fill="FFFFFF"/>
        </w:rPr>
        <w:t>. Baker Books.</w:t>
      </w:r>
    </w:p>
    <w:p w:rsidR="000C14BD" w:rsidRPr="00A06B59" w:rsidRDefault="000C14BD" w:rsidP="00A06B59">
      <w:pPr>
        <w:spacing w:line="480" w:lineRule="auto"/>
        <w:ind w:left="720" w:hanging="720"/>
        <w:rPr>
          <w:rFonts w:ascii="Times New Roman" w:hAnsi="Times New Roman" w:cs="Times New Roman"/>
          <w:sz w:val="24"/>
          <w:szCs w:val="24"/>
        </w:rPr>
      </w:pPr>
      <w:r w:rsidRPr="00A06B59">
        <w:rPr>
          <w:rFonts w:ascii="Times New Roman" w:hAnsi="Times New Roman" w:cs="Times New Roman"/>
          <w:sz w:val="24"/>
          <w:szCs w:val="24"/>
          <w:shd w:val="clear" w:color="auto" w:fill="FFFFFF"/>
        </w:rPr>
        <w:t>Carter, M. F., Franz, T. M., Gruschow, J. L., &amp; VanRyne, A. M. (2019). The gender conformity conundrum: The effects of irrelevant gender norms on public conformity. </w:t>
      </w:r>
      <w:r w:rsidRPr="00A06B59">
        <w:rPr>
          <w:rFonts w:ascii="Times New Roman" w:hAnsi="Times New Roman" w:cs="Times New Roman"/>
          <w:i/>
          <w:iCs/>
          <w:sz w:val="24"/>
          <w:szCs w:val="24"/>
          <w:shd w:val="clear" w:color="auto" w:fill="FFFFFF"/>
        </w:rPr>
        <w:t>The Journal of social psychology</w:t>
      </w:r>
      <w:r w:rsidRPr="00A06B59">
        <w:rPr>
          <w:rFonts w:ascii="Times New Roman" w:hAnsi="Times New Roman" w:cs="Times New Roman"/>
          <w:sz w:val="24"/>
          <w:szCs w:val="24"/>
          <w:shd w:val="clear" w:color="auto" w:fill="FFFFFF"/>
        </w:rPr>
        <w:t>, 1-5.</w:t>
      </w:r>
    </w:p>
    <w:p w:rsidR="000C14BD" w:rsidRPr="00A06B59" w:rsidRDefault="000C14BD" w:rsidP="00A06B59">
      <w:pPr>
        <w:spacing w:line="480" w:lineRule="auto"/>
        <w:ind w:left="720" w:hanging="720"/>
        <w:rPr>
          <w:rFonts w:ascii="Times New Roman" w:hAnsi="Times New Roman" w:cs="Times New Roman"/>
          <w:sz w:val="24"/>
          <w:szCs w:val="24"/>
          <w:shd w:val="clear" w:color="auto" w:fill="FFFFFF"/>
        </w:rPr>
      </w:pPr>
      <w:r w:rsidRPr="00A06B59">
        <w:rPr>
          <w:rFonts w:ascii="Times New Roman" w:hAnsi="Times New Roman" w:cs="Times New Roman"/>
          <w:sz w:val="24"/>
          <w:szCs w:val="24"/>
          <w:shd w:val="clear" w:color="auto" w:fill="FFFFFF"/>
        </w:rPr>
        <w:t>Marshall, J. E. (2019). Uncovering Traditions in 1 Corinthians 11: 2-16. </w:t>
      </w:r>
      <w:r w:rsidRPr="00A06B59">
        <w:rPr>
          <w:rFonts w:ascii="Times New Roman" w:hAnsi="Times New Roman" w:cs="Times New Roman"/>
          <w:i/>
          <w:iCs/>
          <w:sz w:val="24"/>
          <w:szCs w:val="24"/>
          <w:shd w:val="clear" w:color="auto" w:fill="FFFFFF"/>
        </w:rPr>
        <w:t>Novum Testamentum</w:t>
      </w:r>
      <w:r w:rsidRPr="00A06B59">
        <w:rPr>
          <w:rFonts w:ascii="Times New Roman" w:hAnsi="Times New Roman" w:cs="Times New Roman"/>
          <w:sz w:val="24"/>
          <w:szCs w:val="24"/>
          <w:shd w:val="clear" w:color="auto" w:fill="FFFFFF"/>
        </w:rPr>
        <w:t>, </w:t>
      </w:r>
      <w:r w:rsidRPr="00A06B59">
        <w:rPr>
          <w:rFonts w:ascii="Times New Roman" w:hAnsi="Times New Roman" w:cs="Times New Roman"/>
          <w:i/>
          <w:iCs/>
          <w:sz w:val="24"/>
          <w:szCs w:val="24"/>
          <w:shd w:val="clear" w:color="auto" w:fill="FFFFFF"/>
        </w:rPr>
        <w:t>61</w:t>
      </w:r>
      <w:r w:rsidRPr="00A06B59">
        <w:rPr>
          <w:rFonts w:ascii="Times New Roman" w:hAnsi="Times New Roman" w:cs="Times New Roman"/>
          <w:sz w:val="24"/>
          <w:szCs w:val="24"/>
          <w:shd w:val="clear" w:color="auto" w:fill="FFFFFF"/>
        </w:rPr>
        <w:t>(1), 70-87.</w:t>
      </w:r>
    </w:p>
    <w:p w:rsidR="000C14BD" w:rsidRPr="00A06B59" w:rsidRDefault="000C14BD" w:rsidP="00A06B59">
      <w:pPr>
        <w:spacing w:line="480" w:lineRule="auto"/>
        <w:ind w:left="720" w:hanging="720"/>
        <w:rPr>
          <w:rFonts w:ascii="Times New Roman" w:hAnsi="Times New Roman" w:cs="Times New Roman"/>
          <w:sz w:val="24"/>
          <w:szCs w:val="24"/>
          <w:shd w:val="clear" w:color="auto" w:fill="FFFFFF"/>
        </w:rPr>
      </w:pPr>
      <w:r w:rsidRPr="00A06B59">
        <w:rPr>
          <w:rFonts w:ascii="Times New Roman" w:hAnsi="Times New Roman" w:cs="Times New Roman"/>
          <w:sz w:val="24"/>
          <w:szCs w:val="24"/>
          <w:shd w:val="clear" w:color="auto" w:fill="FFFFFF"/>
        </w:rPr>
        <w:t>Ramelli, I. (2019). Paul on Apokatastasis: 1 Corinthians 15: 24–28 and the Use of Scripture. In </w:t>
      </w:r>
      <w:r w:rsidRPr="00A06B59">
        <w:rPr>
          <w:rFonts w:ascii="Times New Roman" w:hAnsi="Times New Roman" w:cs="Times New Roman"/>
          <w:i/>
          <w:iCs/>
          <w:sz w:val="24"/>
          <w:szCs w:val="24"/>
          <w:shd w:val="clear" w:color="auto" w:fill="FFFFFF"/>
        </w:rPr>
        <w:t>Paul and Scripture</w:t>
      </w:r>
      <w:r w:rsidRPr="00A06B59">
        <w:rPr>
          <w:rFonts w:ascii="Times New Roman" w:hAnsi="Times New Roman" w:cs="Times New Roman"/>
          <w:sz w:val="24"/>
          <w:szCs w:val="24"/>
          <w:shd w:val="clear" w:color="auto" w:fill="FFFFFF"/>
        </w:rPr>
        <w:t> (pp. 212-232). Brill.</w:t>
      </w:r>
    </w:p>
    <w:sectPr w:rsidR="000C14BD" w:rsidRPr="00A06B59" w:rsidSect="00787B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12A" w:rsidRDefault="00AC712A" w:rsidP="000C14BD">
      <w:pPr>
        <w:spacing w:after="0" w:line="240" w:lineRule="auto"/>
      </w:pPr>
      <w:r>
        <w:separator/>
      </w:r>
    </w:p>
  </w:endnote>
  <w:endnote w:type="continuationSeparator" w:id="1">
    <w:p w:rsidR="00AC712A" w:rsidRDefault="00AC712A" w:rsidP="000C14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12A" w:rsidRDefault="00AC712A" w:rsidP="000C14BD">
      <w:pPr>
        <w:spacing w:after="0" w:line="240" w:lineRule="auto"/>
      </w:pPr>
      <w:r>
        <w:separator/>
      </w:r>
    </w:p>
  </w:footnote>
  <w:footnote w:type="continuationSeparator" w:id="1">
    <w:p w:rsidR="00AC712A" w:rsidRDefault="00AC712A" w:rsidP="000C14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BD" w:rsidRPr="000C14BD" w:rsidRDefault="00787B4D" w:rsidP="000C14BD">
    <w:pPr>
      <w:rPr>
        <w:rFonts w:ascii="Times New Roman" w:hAnsi="Times New Roman" w:cs="Times New Roman"/>
        <w:sz w:val="24"/>
        <w:szCs w:val="24"/>
      </w:rPr>
    </w:pPr>
    <w:r w:rsidRPr="00787B4D">
      <w:rPr>
        <w:rFonts w:ascii="Times New Roman" w:hAnsi="Times New Roman" w:cs="Times New Roman"/>
        <w:sz w:val="24"/>
        <w:szCs w:val="24"/>
      </w:rPr>
      <w:t>GENDER AND ITS RELATIONSHIP TO CHRISTIAN LIFE.</w:t>
    </w:r>
    <w:r>
      <w:rPr>
        <w:rFonts w:ascii="Times New Roman" w:hAnsi="Times New Roman" w:cs="Times New Roman"/>
        <w:sz w:val="24"/>
        <w:szCs w:val="24"/>
      </w:rPr>
      <w:tab/>
    </w:r>
    <w:r>
      <w:rPr>
        <w:rFonts w:ascii="Times New Roman" w:hAnsi="Times New Roman" w:cs="Times New Roman"/>
        <w:sz w:val="24"/>
        <w:szCs w:val="24"/>
      </w:rPr>
      <w:tab/>
    </w:r>
    <w:r w:rsidR="000C14BD" w:rsidRPr="000C14BD">
      <w:rPr>
        <w:rFonts w:ascii="Times New Roman" w:hAnsi="Times New Roman" w:cs="Times New Roman"/>
        <w:sz w:val="24"/>
        <w:szCs w:val="24"/>
      </w:rPr>
      <w:tab/>
    </w:r>
    <w:r w:rsidR="000C14BD" w:rsidRPr="000C14BD">
      <w:rPr>
        <w:rFonts w:ascii="Times New Roman" w:hAnsi="Times New Roman" w:cs="Times New Roman"/>
        <w:sz w:val="24"/>
        <w:szCs w:val="24"/>
      </w:rPr>
      <w:tab/>
    </w:r>
    <w:sdt>
      <w:sdtPr>
        <w:rPr>
          <w:rFonts w:ascii="Times New Roman" w:hAnsi="Times New Roman" w:cs="Times New Roman"/>
          <w:sz w:val="24"/>
          <w:szCs w:val="24"/>
        </w:rPr>
        <w:id w:val="-1752045106"/>
        <w:docPartObj>
          <w:docPartGallery w:val="Page Numbers (Top of Page)"/>
          <w:docPartUnique/>
        </w:docPartObj>
      </w:sdtPr>
      <w:sdtEndPr>
        <w:rPr>
          <w:noProof/>
        </w:rPr>
      </w:sdtEndPr>
      <w:sdtContent>
        <w:r w:rsidR="001C0CF1" w:rsidRPr="000C14BD">
          <w:rPr>
            <w:rFonts w:ascii="Times New Roman" w:hAnsi="Times New Roman" w:cs="Times New Roman"/>
            <w:sz w:val="24"/>
            <w:szCs w:val="24"/>
          </w:rPr>
          <w:fldChar w:fldCharType="begin"/>
        </w:r>
        <w:r w:rsidR="000C14BD" w:rsidRPr="000C14BD">
          <w:rPr>
            <w:rFonts w:ascii="Times New Roman" w:hAnsi="Times New Roman" w:cs="Times New Roman"/>
            <w:sz w:val="24"/>
            <w:szCs w:val="24"/>
          </w:rPr>
          <w:instrText xml:space="preserve"> PAGE   \* MERGEFORMAT </w:instrText>
        </w:r>
        <w:r w:rsidR="001C0CF1" w:rsidRPr="000C14BD">
          <w:rPr>
            <w:rFonts w:ascii="Times New Roman" w:hAnsi="Times New Roman" w:cs="Times New Roman"/>
            <w:sz w:val="24"/>
            <w:szCs w:val="24"/>
          </w:rPr>
          <w:fldChar w:fldCharType="separate"/>
        </w:r>
        <w:r w:rsidR="00FD5D28">
          <w:rPr>
            <w:rFonts w:ascii="Times New Roman" w:hAnsi="Times New Roman" w:cs="Times New Roman"/>
            <w:noProof/>
            <w:sz w:val="24"/>
            <w:szCs w:val="24"/>
          </w:rPr>
          <w:t>7</w:t>
        </w:r>
        <w:r w:rsidR="001C0CF1" w:rsidRPr="000C14BD">
          <w:rPr>
            <w:rFonts w:ascii="Times New Roman" w:hAnsi="Times New Roman" w:cs="Times New Roman"/>
            <w:noProof/>
            <w:sz w:val="24"/>
            <w:szCs w:val="24"/>
          </w:rPr>
          <w:fldChar w:fldCharType="end"/>
        </w:r>
      </w:sdtContent>
    </w:sdt>
  </w:p>
  <w:p w:rsidR="000C14BD" w:rsidRPr="000C14BD" w:rsidRDefault="000C14B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4D" w:rsidRPr="00787B4D" w:rsidRDefault="00787B4D">
    <w:pPr>
      <w:pStyle w:val="Header"/>
      <w:rPr>
        <w:rFonts w:ascii="Times New Roman" w:hAnsi="Times New Roman" w:cs="Times New Roman"/>
        <w:sz w:val="24"/>
        <w:szCs w:val="24"/>
      </w:rPr>
    </w:pPr>
    <w:r w:rsidRPr="00787B4D">
      <w:rPr>
        <w:rFonts w:ascii="Times New Roman" w:hAnsi="Times New Roman" w:cs="Times New Roman"/>
        <w:sz w:val="24"/>
        <w:szCs w:val="24"/>
      </w:rPr>
      <w:t>Running head: GENDER AND ITS RELATIONSHIP TO CHRISTIAN LIFE.</w:t>
    </w:r>
    <w:r w:rsidRPr="00787B4D">
      <w:rPr>
        <w:rFonts w:ascii="Times New Roman" w:hAnsi="Times New Roman" w:cs="Times New Roman"/>
        <w:sz w:val="24"/>
        <w:szCs w:val="24"/>
      </w:rPr>
      <w:tab/>
    </w:r>
    <w:sdt>
      <w:sdtPr>
        <w:rPr>
          <w:rFonts w:ascii="Times New Roman" w:hAnsi="Times New Roman" w:cs="Times New Roman"/>
          <w:sz w:val="24"/>
          <w:szCs w:val="24"/>
        </w:rPr>
        <w:id w:val="-963807862"/>
        <w:docPartObj>
          <w:docPartGallery w:val="Page Numbers (Top of Page)"/>
          <w:docPartUnique/>
        </w:docPartObj>
      </w:sdtPr>
      <w:sdtEndPr>
        <w:rPr>
          <w:noProof/>
        </w:rPr>
      </w:sdtEndPr>
      <w:sdtContent>
        <w:r w:rsidR="001C0CF1" w:rsidRPr="00787B4D">
          <w:rPr>
            <w:rFonts w:ascii="Times New Roman" w:hAnsi="Times New Roman" w:cs="Times New Roman"/>
            <w:sz w:val="24"/>
            <w:szCs w:val="24"/>
          </w:rPr>
          <w:fldChar w:fldCharType="begin"/>
        </w:r>
        <w:r w:rsidRPr="00787B4D">
          <w:rPr>
            <w:rFonts w:ascii="Times New Roman" w:hAnsi="Times New Roman" w:cs="Times New Roman"/>
            <w:sz w:val="24"/>
            <w:szCs w:val="24"/>
          </w:rPr>
          <w:instrText xml:space="preserve"> PAGE   \* MERGEFORMAT </w:instrText>
        </w:r>
        <w:r w:rsidR="001C0CF1" w:rsidRPr="00787B4D">
          <w:rPr>
            <w:rFonts w:ascii="Times New Roman" w:hAnsi="Times New Roman" w:cs="Times New Roman"/>
            <w:sz w:val="24"/>
            <w:szCs w:val="24"/>
          </w:rPr>
          <w:fldChar w:fldCharType="separate"/>
        </w:r>
        <w:r w:rsidR="00FD5D28">
          <w:rPr>
            <w:rFonts w:ascii="Times New Roman" w:hAnsi="Times New Roman" w:cs="Times New Roman"/>
            <w:noProof/>
            <w:sz w:val="24"/>
            <w:szCs w:val="24"/>
          </w:rPr>
          <w:t>1</w:t>
        </w:r>
        <w:r w:rsidR="001C0CF1" w:rsidRPr="00787B4D">
          <w:rPr>
            <w:rFonts w:ascii="Times New Roman" w:hAnsi="Times New Roman" w:cs="Times New Roman"/>
            <w:noProof/>
            <w:sz w:val="24"/>
            <w:szCs w:val="24"/>
          </w:rPr>
          <w:fldChar w:fldCharType="end"/>
        </w:r>
      </w:sdtContent>
    </w:sdt>
  </w:p>
  <w:p w:rsidR="000C14BD" w:rsidRPr="00787B4D" w:rsidRDefault="000C14BD">
    <w:pPr>
      <w:pStyle w:val="Header"/>
      <w:rPr>
        <w:rFonts w:ascii="Times New Roman" w:hAnsi="Times New Roman" w:cs="Times New Roman"/>
        <w:sz w:val="24"/>
        <w:szCs w:val="24"/>
      </w:rPr>
    </w:pPr>
  </w:p>
  <w:p w:rsidR="00787B4D" w:rsidRDefault="00787B4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B7629"/>
    <w:rsid w:val="00011A0F"/>
    <w:rsid w:val="00013583"/>
    <w:rsid w:val="000335B1"/>
    <w:rsid w:val="000A1FA9"/>
    <w:rsid w:val="000C14BD"/>
    <w:rsid w:val="000F23E6"/>
    <w:rsid w:val="001179B3"/>
    <w:rsid w:val="001279C7"/>
    <w:rsid w:val="001731C0"/>
    <w:rsid w:val="001A1B99"/>
    <w:rsid w:val="001C0CF1"/>
    <w:rsid w:val="001C58E0"/>
    <w:rsid w:val="00211BB7"/>
    <w:rsid w:val="002213F4"/>
    <w:rsid w:val="00242000"/>
    <w:rsid w:val="002C370E"/>
    <w:rsid w:val="00326294"/>
    <w:rsid w:val="0033419D"/>
    <w:rsid w:val="00343395"/>
    <w:rsid w:val="00351EB6"/>
    <w:rsid w:val="00384082"/>
    <w:rsid w:val="003C39E5"/>
    <w:rsid w:val="004B0139"/>
    <w:rsid w:val="004D0F11"/>
    <w:rsid w:val="005D7C8F"/>
    <w:rsid w:val="006807F3"/>
    <w:rsid w:val="006A6167"/>
    <w:rsid w:val="006B1DF6"/>
    <w:rsid w:val="006D617E"/>
    <w:rsid w:val="00717119"/>
    <w:rsid w:val="00775F5A"/>
    <w:rsid w:val="00780C60"/>
    <w:rsid w:val="00787B4D"/>
    <w:rsid w:val="007B2A7A"/>
    <w:rsid w:val="007C0FE8"/>
    <w:rsid w:val="007D4219"/>
    <w:rsid w:val="007E02DD"/>
    <w:rsid w:val="00866594"/>
    <w:rsid w:val="009054F7"/>
    <w:rsid w:val="00927292"/>
    <w:rsid w:val="0093249F"/>
    <w:rsid w:val="009821CA"/>
    <w:rsid w:val="009F47A2"/>
    <w:rsid w:val="00A06B59"/>
    <w:rsid w:val="00A91448"/>
    <w:rsid w:val="00A9581A"/>
    <w:rsid w:val="00A95DBF"/>
    <w:rsid w:val="00AC712A"/>
    <w:rsid w:val="00AD4767"/>
    <w:rsid w:val="00B2600E"/>
    <w:rsid w:val="00B70D6B"/>
    <w:rsid w:val="00B83F35"/>
    <w:rsid w:val="00BB7629"/>
    <w:rsid w:val="00BD3310"/>
    <w:rsid w:val="00BE42EA"/>
    <w:rsid w:val="00C01099"/>
    <w:rsid w:val="00C3445D"/>
    <w:rsid w:val="00C4014D"/>
    <w:rsid w:val="00C71C47"/>
    <w:rsid w:val="00D22A43"/>
    <w:rsid w:val="00D52317"/>
    <w:rsid w:val="00DF4565"/>
    <w:rsid w:val="00F6368A"/>
    <w:rsid w:val="00FD5D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4BD"/>
  </w:style>
  <w:style w:type="paragraph" w:styleId="Footer">
    <w:name w:val="footer"/>
    <w:basedOn w:val="Normal"/>
    <w:link w:val="FooterChar"/>
    <w:uiPriority w:val="99"/>
    <w:unhideWhenUsed/>
    <w:rsid w:val="000C1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4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2019-04-28T07:36:00Z</dcterms:created>
  <dcterms:modified xsi:type="dcterms:W3CDTF">2019-04-28T07:36:00Z</dcterms:modified>
</cp:coreProperties>
</file>